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A6BEA" w14:textId="77777777" w:rsidR="00986661" w:rsidRPr="00986661" w:rsidRDefault="0002611E" w:rsidP="00986661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</w:pPr>
      <w:bookmarkStart w:id="0" w:name="_GoBack"/>
      <w:r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 xml:space="preserve">С мая 2023 года </w:t>
      </w:r>
      <w:proofErr w:type="gramStart"/>
      <w:r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>для  подключения</w:t>
      </w:r>
      <w:proofErr w:type="gramEnd"/>
      <w:r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 xml:space="preserve"> учреждения к программе «Пушкинская карта» необходимо оформить ходатайство с целью подтверждения факта ведения культурной деятельности в Министерстве культуры Республики</w:t>
      </w:r>
      <w:r w:rsidR="00D33BA2"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 xml:space="preserve"> Бурятия</w:t>
      </w:r>
      <w:r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>. </w:t>
      </w:r>
    </w:p>
    <w:p w14:paraId="3E21EA4C" w14:textId="709399A6" w:rsidR="0002611E" w:rsidRPr="00986661" w:rsidRDefault="0002611E" w:rsidP="00986661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iCs/>
          <w:color w:val="333333"/>
          <w:sz w:val="24"/>
          <w:szCs w:val="24"/>
          <w:lang w:eastAsia="ru-RU"/>
        </w:rPr>
      </w:pPr>
      <w:r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>Для этого необходимо направить заявку согласно установленному </w:t>
      </w:r>
      <w:hyperlink r:id="rId4" w:history="1">
        <w:r w:rsidRPr="00986661">
          <w:rPr>
            <w:rFonts w:ascii="Helvetica" w:eastAsia="Times New Roman" w:hAnsi="Helvetica" w:cs="Helvetica"/>
            <w:bCs/>
            <w:iCs/>
            <w:color w:val="057CC9"/>
            <w:sz w:val="36"/>
            <w:szCs w:val="36"/>
            <w:u w:val="single"/>
            <w:lang w:eastAsia="ru-RU"/>
          </w:rPr>
          <w:t>образцу</w:t>
        </w:r>
      </w:hyperlink>
      <w:r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>. Заявки направлять в форматах </w:t>
      </w:r>
      <w:r w:rsidRPr="00986661">
        <w:rPr>
          <w:rFonts w:ascii="Helvetica" w:eastAsia="Times New Roman" w:hAnsi="Helvetica" w:cs="Helvetica"/>
          <w:bCs/>
          <w:iCs/>
          <w:color w:val="EE1D24"/>
          <w:sz w:val="27"/>
          <w:szCs w:val="27"/>
          <w:lang w:eastAsia="ru-RU"/>
        </w:rPr>
        <w:t xml:space="preserve">PDF и </w:t>
      </w:r>
      <w:proofErr w:type="gramStart"/>
      <w:r w:rsidRPr="00986661">
        <w:rPr>
          <w:rFonts w:ascii="Helvetica" w:eastAsia="Times New Roman" w:hAnsi="Helvetica" w:cs="Helvetica"/>
          <w:bCs/>
          <w:iCs/>
          <w:color w:val="EE1D24"/>
          <w:sz w:val="27"/>
          <w:szCs w:val="27"/>
          <w:lang w:eastAsia="ru-RU"/>
        </w:rPr>
        <w:t>WORD</w:t>
      </w:r>
      <w:r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>  (</w:t>
      </w:r>
      <w:proofErr w:type="gramEnd"/>
      <w:r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 xml:space="preserve">редактируемый формат) с приложением всех документов на электронный адрес </w:t>
      </w:r>
      <w:proofErr w:type="spellStart"/>
      <w:r w:rsidR="00D33BA2"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val="en-US" w:eastAsia="ru-RU"/>
        </w:rPr>
        <w:t>Zhimbeeva</w:t>
      </w:r>
      <w:proofErr w:type="spellEnd"/>
      <w:r w:rsidR="00D33BA2"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>.</w:t>
      </w:r>
      <w:r w:rsidR="00D33BA2"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val="en-US" w:eastAsia="ru-RU"/>
        </w:rPr>
        <w:t>e</w:t>
      </w:r>
      <w:r w:rsidR="00D33BA2"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>@</w:t>
      </w:r>
      <w:proofErr w:type="spellStart"/>
      <w:r w:rsidR="00D33BA2"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val="en-US" w:eastAsia="ru-RU"/>
        </w:rPr>
        <w:t>minkultrb</w:t>
      </w:r>
      <w:proofErr w:type="spellEnd"/>
      <w:r w:rsidR="00D33BA2"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>.</w:t>
      </w:r>
      <w:proofErr w:type="spellStart"/>
      <w:r w:rsidR="00D33BA2"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val="en-US" w:eastAsia="ru-RU"/>
        </w:rPr>
        <w:t>ru</w:t>
      </w:r>
      <w:proofErr w:type="spellEnd"/>
      <w:r w:rsidRPr="00986661">
        <w:rPr>
          <w:rFonts w:ascii="Helvetica" w:eastAsia="Times New Roman" w:hAnsi="Helvetica" w:cs="Helvetica"/>
          <w:bCs/>
          <w:iCs/>
          <w:color w:val="333333"/>
          <w:sz w:val="27"/>
          <w:szCs w:val="27"/>
          <w:lang w:eastAsia="ru-RU"/>
        </w:rPr>
        <w:t>. Срок рассмотрения заявки 3 рабочих дня.</w:t>
      </w:r>
    </w:p>
    <w:p w14:paraId="36263F4D" w14:textId="3C0E15D7" w:rsidR="0002611E" w:rsidRPr="00986661" w:rsidRDefault="0002611E" w:rsidP="00986661">
      <w:pPr>
        <w:spacing w:after="0" w:line="276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br/>
        <w:t xml:space="preserve">По возникшим вопросам обращаться к </w:t>
      </w:r>
      <w:r w:rsidR="00DB7C09"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>консультанту</w:t>
      </w:r>
      <w:r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 xml:space="preserve"> отдела </w:t>
      </w:r>
      <w:r w:rsidR="00D33BA2"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>искусств, народного творчества и образования</w:t>
      </w:r>
      <w:r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 xml:space="preserve"> Министерства культуры Республики</w:t>
      </w:r>
      <w:r w:rsidR="00D33BA2"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 xml:space="preserve"> Бурятия</w:t>
      </w:r>
      <w:r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>: тел. 8 (3</w:t>
      </w:r>
      <w:r w:rsidR="00D33BA2"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>01</w:t>
      </w:r>
      <w:r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 xml:space="preserve">2) </w:t>
      </w:r>
      <w:r w:rsidR="00D33BA2"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>21-35-17</w:t>
      </w:r>
      <w:r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 xml:space="preserve">, </w:t>
      </w:r>
      <w:r w:rsidR="00D33BA2"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>Жимбеева Эржена Александровна</w:t>
      </w:r>
      <w:r w:rsidRPr="00986661">
        <w:rPr>
          <w:rFonts w:ascii="Helvetica" w:eastAsia="Times New Roman" w:hAnsi="Helvetica" w:cs="Helvetica"/>
          <w:bCs/>
          <w:color w:val="333333"/>
          <w:sz w:val="27"/>
          <w:szCs w:val="27"/>
          <w:shd w:val="clear" w:color="auto" w:fill="FFFFFF"/>
          <w:lang w:eastAsia="ru-RU"/>
        </w:rPr>
        <w:t>. </w:t>
      </w:r>
    </w:p>
    <w:bookmarkEnd w:id="0"/>
    <w:p w14:paraId="745730B4" w14:textId="354B1056" w:rsidR="0002611E" w:rsidRPr="0002611E" w:rsidRDefault="00DB7C09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</w:t>
      </w:r>
      <w:r w:rsidR="0002611E"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атериал</w:t>
      </w:r>
      <w:r w:rsidR="008208D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по реализации программы «Пушкинская карта»,</w:t>
      </w:r>
      <w:r w:rsidR="0002611E"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опубликованные Министерством культуры РФ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</w:t>
      </w:r>
    </w:p>
    <w:p w14:paraId="4FF47163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Постановление Правительства РФ от 28 декабря 2021 г. № 2509 @О внесении изменений в некоторые акты Правительства Российской Федерации по вопросу реализации мер по социальной поддержке молодежи в возрасте от 14 до 22 лет для повышения доступности организаций культуры (ПРО КИНОТЕАТРЫ) </w:t>
      </w:r>
      <w:hyperlink r:id="rId5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по ссылке</w:t>
        </w:r>
      </w:hyperlink>
    </w:p>
    <w:p w14:paraId="6FAEB083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Минкультом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Минцифры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РФ утверждены </w:t>
      </w:r>
      <w:hyperlink r:id="rId6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методические рекомендации по техническому, технологическому внедрению проекта</w:t>
        </w:r>
      </w:hyperlink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это требования и правила, многие другие публикации также объяснения этих требований.</w:t>
      </w:r>
    </w:p>
    <w:p w14:paraId="1BB691B8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Как оформить Пушкинскую карту если Вам от 14 до 22 лет по </w:t>
      </w:r>
      <w:hyperlink r:id="rId7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ссылке</w:t>
        </w:r>
      </w:hyperlink>
    </w:p>
    <w:p w14:paraId="31043A1D" w14:textId="146DC099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Ответ на вопрос </w:t>
      </w:r>
      <w:r w:rsidR="009F04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«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Какие мероприятия можно проводить по Пушкинской карте</w:t>
      </w:r>
      <w:r w:rsidR="008208D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это пункт 20 Правил реализации проекта «Пушкинская карта», правила по </w:t>
      </w:r>
      <w:hyperlink r:id="rId8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ссылке</w:t>
        </w:r>
      </w:hyperlink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а также Афиша проекта «Пушкинская карта», с примерами мероприятий по этой </w:t>
      </w:r>
      <w:hyperlink r:id="rId9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ссылке</w:t>
        </w:r>
      </w:hyperlink>
    </w:p>
    <w:p w14:paraId="0A363026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Рекомендовал бы ознакомиться с </w:t>
      </w:r>
      <w:hyperlink r:id="rId10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Правилами реализации проекта "Пушкинская карта"</w:t>
        </w:r>
      </w:hyperlink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документ написан понятным языком, насколько это возможно для официального документа.</w:t>
      </w:r>
    </w:p>
    <w:p w14:paraId="5BE1CB77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Все другие документы обязательно ссылаются на правила, и фактически трактовка и объяснение правил.</w:t>
      </w:r>
    </w:p>
    <w:p w14:paraId="00476DC6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Ссылка на нормативные документы по проекту "ПК" на </w:t>
      </w:r>
      <w:hyperlink r:id="rId11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 xml:space="preserve">сайте </w:t>
        </w:r>
        <w:proofErr w:type="spellStart"/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ПРО.Культура.РФ</w:t>
        </w:r>
        <w:proofErr w:type="spellEnd"/>
      </w:hyperlink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14:paraId="4F4AFABA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Ссылка на билетных операторов </w:t>
      </w:r>
      <w:hyperlink r:id="rId12" w:history="1">
        <w:r w:rsidRPr="0002611E">
          <w:rPr>
            <w:rFonts w:ascii="Times New Roman" w:eastAsia="Times New Roman" w:hAnsi="Times New Roman" w:cs="Times New Roman"/>
            <w:color w:val="0070C0"/>
            <w:sz w:val="28"/>
            <w:szCs w:val="21"/>
            <w:u w:val="single"/>
            <w:lang w:eastAsia="ru-RU"/>
          </w:rPr>
          <w:t>https://docs.culture.ru/operators/</w:t>
        </w:r>
      </w:hyperlink>
      <w:r w:rsidRPr="0002611E">
        <w:rPr>
          <w:rFonts w:ascii="Times New Roman" w:eastAsia="Times New Roman" w:hAnsi="Times New Roman" w:cs="Times New Roman"/>
          <w:color w:val="444444"/>
          <w:sz w:val="40"/>
          <w:szCs w:val="28"/>
          <w:lang w:eastAsia="ru-RU"/>
        </w:rPr>
        <w:t>.</w:t>
      </w:r>
    </w:p>
    <w:p w14:paraId="0A819B73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</w:p>
    <w:p w14:paraId="29353F87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Методические рекомендации для учреждений культуры – участников программы «Пушкинская карта»</w:t>
      </w:r>
    </w:p>
    <w:p w14:paraId="09C4730E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Ниже текст презентации методических рекомендаций для участников программы, оригинал в PDF доступен по </w:t>
      </w:r>
      <w:hyperlink r:id="rId13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ссылке</w:t>
        </w:r>
      </w:hyperlink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14:paraId="507E8E77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Участники программы – учреждения культуры</w:t>
      </w:r>
    </w:p>
    <w:p w14:paraId="222C55C8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Это театры, концертные организации, музеи, выставочные залы, культурные центры всех форм собственности, ведомственной принадлежности и уровня подчинённости, соответствующие следующим техническим требованиям:</w:t>
      </w:r>
    </w:p>
    <w:p w14:paraId="19E39860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Наличие личного кабинета на платформе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PRO.Культура.РФ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;</w:t>
      </w:r>
    </w:p>
    <w:p w14:paraId="4B594FA0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Возможность продажи билетов онлайн и в кассах учреждений с единым учетом данных о продажах (билетная система)</w:t>
      </w:r>
    </w:p>
    <w:p w14:paraId="3C50822B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Пользователи программы</w:t>
      </w:r>
    </w:p>
    <w:p w14:paraId="779E8BAD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Граждане Российской Федерации в возрасте с 14 до 22 лет, имеющие паспорт гражданина Российской Федерации.</w:t>
      </w:r>
    </w:p>
    <w:p w14:paraId="186166CF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Цель</w:t>
      </w:r>
    </w:p>
    <w:p w14:paraId="6BB1C985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Активное привлечение детей и молодежи в возрасте с 14 до 22 лет к изучению художественной культуры и искусства, мотивация к освоению </w:t>
      </w:r>
      <w:proofErr w:type="gram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ценностей  отечественной</w:t>
      </w:r>
      <w:proofErr w:type="gram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российской и мировой культуры, повышение культурного уровня подрастающего поколения.</w:t>
      </w:r>
    </w:p>
    <w:p w14:paraId="1E8CE79C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Задачи</w:t>
      </w:r>
    </w:p>
    <w:p w14:paraId="1E9DFB8E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Воспитание подрастающего поколения в соответствии с российскими традиционными духовно-нравственными ценностями;</w:t>
      </w:r>
    </w:p>
    <w:p w14:paraId="2DC82CB0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Повышение общего уровня знаний детей и молодежи о историко-культурном наследии страны и развитие художественного вкуса;</w:t>
      </w:r>
    </w:p>
    <w:p w14:paraId="736714F5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Формирование эмоционально-ценностного и эстетического восприятия мира искусства;</w:t>
      </w:r>
    </w:p>
    <w:p w14:paraId="549BDD9C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Способствование процессу интеграции ребенка в социальную среду посредством анализа сюжетов и самоидентификации с героями;</w:t>
      </w:r>
    </w:p>
    <w:p w14:paraId="7A918502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Формирование знаний о музыкальном, театральном, изобразительном искусстве и народном творчестве;</w:t>
      </w:r>
    </w:p>
    <w:p w14:paraId="3BA887AD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lastRenderedPageBreak/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Развитие эрудиции, расширение кругозора и цитатного поля.</w:t>
      </w:r>
    </w:p>
    <w:p w14:paraId="4B69CBB1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Формы мероприятий</w:t>
      </w:r>
    </w:p>
    <w:p w14:paraId="34B828F5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Спектакли</w:t>
      </w:r>
    </w:p>
    <w:p w14:paraId="180808D0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Выставки</w:t>
      </w:r>
    </w:p>
    <w:p w14:paraId="0746C3D2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Фестивали</w:t>
      </w:r>
    </w:p>
    <w:p w14:paraId="40D301DE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Концерты</w:t>
      </w:r>
    </w:p>
    <w:p w14:paraId="79FB6C6C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Концертные программы</w:t>
      </w:r>
    </w:p>
    <w:p w14:paraId="3D7B7614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Творческие вечера</w:t>
      </w:r>
    </w:p>
    <w:p w14:paraId="446DA712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</w:p>
    <w:p w14:paraId="3DAF3428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Условия программы</w:t>
      </w:r>
    </w:p>
    <w:p w14:paraId="0570BB7A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Пушкинская карта действует в течение календарного года. Если пользователю программы, имеющему Пушкинскую карту, в течение календарного года исполнилось 23 года, он имеет право пользоваться картой до 31 декабря года владения включительно. Номинал пушкинской карты постоянный и не зависит от месяца ее получения.</w:t>
      </w:r>
    </w:p>
    <w:p w14:paraId="50D4DBBC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</w:p>
    <w:p w14:paraId="10FE9FC7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Критерии отбора учреждений культуры для участия</w:t>
      </w:r>
    </w:p>
    <w:p w14:paraId="13445F07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Наличие в репертуаре народных произведений, а также русской, отечественной и зарубежной классики;</w:t>
      </w:r>
    </w:p>
    <w:p w14:paraId="40FE38D4" w14:textId="2BDD33C8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Репертуар, направленный на формирование гармонично развитой,</w:t>
      </w:r>
      <w:r w:rsidR="00852EF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социально ответственной и патриотичной личности (в том числе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антисуицидальной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антинаркотической и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антиэкстремистской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направленности);</w:t>
      </w:r>
    </w:p>
    <w:p w14:paraId="73D6FA13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Наличие коллекций предметов материального мира независимо от времени их создания, имеющих национальное, общероссийское и мировое историческое, художественное, научное и культурное значение;</w:t>
      </w:r>
    </w:p>
    <w:p w14:paraId="19449BAC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Рекомендуется применение в мероприятиях интерактивных, просветительских, образовательных и инклюзивных форматов работы с аудиторией, а также аудиовизуальных произведений советских и (или) зарубежных классиков.</w:t>
      </w:r>
    </w:p>
    <w:p w14:paraId="52907E77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Базовые технические требования к учреждениям культуры</w:t>
      </w:r>
    </w:p>
    <w:p w14:paraId="08FADEEF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1.Наличие личного кабинета на платформе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PRO.Культура.РФ</w:t>
      </w:r>
      <w:proofErr w:type="spellEnd"/>
    </w:p>
    <w:p w14:paraId="1B4731A5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Ответственный сотрудник учреждения культуры заводит личный кабинет посредством регистрации на платформе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PRO.Культура.РФ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(e-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mail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/пароль/телефон/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фио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/пол).</w:t>
      </w:r>
    </w:p>
    <w:p w14:paraId="154850F9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2.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Ответственный сотрудник создает профиль учреждения культуры (в случае отсутствия), каждому учреждению присвоен личный идентификатор.</w:t>
      </w:r>
    </w:p>
    <w:p w14:paraId="1257259E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Профили учреждений культуры содержат следующие сведения: уровень подчинения (федеральный, региональный, муниципальный), название и адрес, принадлежность (какому органу исполнительной власти подчиняется), тип учреждения.</w:t>
      </w:r>
    </w:p>
    <w:p w14:paraId="344AEAFA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4.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участия в программе ответственный сотрудник через свой личный кабинет размещает культурные события, соответствующие настоящим методическим рекомендациям, или их анонсы с указанием места и времени проведения, и кратким описанием.</w:t>
      </w:r>
    </w:p>
    <w:p w14:paraId="392544B9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5.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Соответствие учреждений культуры и мероприятий критериям участия в программе подтверждается экспертными советами также через платформу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PRO.Культура.РФ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где посредством личных кабинетов всех экспертов реализован функционал подтверждения заявок для дальнейшего присвоения идентификатора «Участник программы» и размещения анонса в афише мероприятий программы «Пушкинская карта».</w:t>
      </w:r>
    </w:p>
    <w:p w14:paraId="65CA471E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2. Возможность продажи билетов-онлайн</w:t>
      </w:r>
    </w:p>
    <w:p w14:paraId="1C1748E8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Подключена любая из онлайн-кассовых/билетных систем с обязательной возможностью оплаты банковской картой платежной системы «Мир».</w:t>
      </w:r>
    </w:p>
    <w:p w14:paraId="44549B30" w14:textId="459148EB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Билетная система учреждения должна быть объединена с кассовой системой (офлайн-билетные кассы) для данного учреждения культуры (это обязательно, потому</w:t>
      </w:r>
      <w:r w:rsidR="00C6714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что надо передавать данные в билетный реестр на Госуслуги, иначе оплата не будет работать. Автономные оффлайн кассы сами не будут передавать данные)</w:t>
      </w:r>
    </w:p>
    <w:p w14:paraId="7CD24F09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Билетная система должна иметь функционал передачи данных о билетных продуктах, введения и маркировки новых типов билетов, передачи полных отчетных сведений о погашенных и возвращенных билетах и денежных транзакциях (выгрузка из банковской системы). (Одним предложением перечислены требования к передаче информации о покупке, возврате и гашении в билетный реестр, это обязательно, иначе оплата не будет проходить, Почта Банк не одобрит)</w:t>
      </w:r>
    </w:p>
    <w:p w14:paraId="2B2EFADE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3. Наличие специально сканера для считывания QR-кода с билета</w:t>
      </w:r>
    </w:p>
    <w:p w14:paraId="445ACE05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Механизм контроля посещения мероприятия осуществляется посредством считывания специального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qr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-кода с билета при посещении учреждения культуры и передаваться на цифровые ресурсы Минкультуры России и АО «Почта Банк». Также будет реализована возможность персонификации билета по QR-коду и путем размещения фото гражданина как на виртуальной, так и на пластиковой карте. (Это требование к передаче информации о гашении билетов)</w:t>
      </w:r>
    </w:p>
    <w:p w14:paraId="6A9E7892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lastRenderedPageBreak/>
        <w:t> </w:t>
      </w:r>
    </w:p>
    <w:p w14:paraId="5C846250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Клиентский путь учреждения культуры</w:t>
      </w:r>
    </w:p>
    <w:p w14:paraId="5DBC78C4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Регистрация учреждения культуры на платформе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PRO.Культура.РФ</w:t>
      </w:r>
      <w:proofErr w:type="spellEnd"/>
    </w:p>
    <w:p w14:paraId="2271F203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Модерация контента сотрудниками платформы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PRO.Культура.РФ</w:t>
      </w:r>
      <w:proofErr w:type="spellEnd"/>
    </w:p>
    <w:p w14:paraId="085E2BC5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Экспертный совет подтверждает соответствие критериям учреждений и их афиши для участия в программе</w:t>
      </w:r>
    </w:p>
    <w:p w14:paraId="1FC1CD68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Банк тестирует билетную систему и техническую готовность учреждения в программе</w:t>
      </w:r>
    </w:p>
    <w:p w14:paraId="68F1C208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proofErr w:type="gram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</w:t>
      </w:r>
      <w:proofErr w:type="gram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случае успешного прохождения этапов отбора учреждение становится участником программы</w:t>
      </w:r>
    </w:p>
    <w:p w14:paraId="267B8F06" w14:textId="1BB7FF95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Требования к экспертному совету</w:t>
      </w:r>
    </w:p>
    <w:p w14:paraId="6D2AA647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Экспертные советы создаются при органах государственной власти субъектов Российской Федерации, осуществляющих управление в сфере культуры. В состав экспертных советов входят выдающиеся деятели культуры И искусства, представители общественных советов в сфере культуры, Представители органов государственной власти субъектов Российской Федерации, представители государственных учреждений сферы культуры. Положение и состав экспертных советов утверждаются Нормативно- правовыми актами органов государственной власти субъектов Российской Федерации в соответствии с действующим Законодательством. В состав экспертного совета должно входить не менее 5 человек. Экспертный совет собирается: с сентября по декабрь 2021 - еженедельно, в 2022 году - не реже 1 раза в месяц. Для принятия решения необходимо солидарное мнение не менее чем 3-х Участников совета из разных сфер культуры.</w:t>
      </w:r>
    </w:p>
    <w:p w14:paraId="017E7B64" w14:textId="7CD4C4AD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Обеспечение сохранности персональных данных</w:t>
      </w:r>
    </w:p>
    <w:p w14:paraId="6C50603A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Обработка персональных данных осуществляется в соответствии с требованиями Федерального закона от 27.07.2006 № 152-фз «О персональных данных», Постановления правительства РФ от 01.11.2012 №1119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6288740D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обеспечения соответствующего уровня защищенности персональных данных при их обработке в информационных системах, применяемых для реализации программы, выполнены следующие требования:</w:t>
      </w:r>
    </w:p>
    <w:p w14:paraId="27D8FA28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Обеспечивается сохранность носителей персональных данных;</w:t>
      </w:r>
    </w:p>
    <w:p w14:paraId="4A01856E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lastRenderedPageBreak/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Утвержден перечень лиц, доступ которых к персональным данным, обрабатываемым в информационных системах, необходим для выполнения ими служебных (трудовых) обязанностей;</w:t>
      </w:r>
    </w:p>
    <w:p w14:paraId="3768AFF1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Используются средства защиты информации, прошедшие процедуру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оценки соответствия требованиям законодательства Российской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Федерации в области обеспечения безопасности информации, в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случае, когда применение таких средств необходимо для нейтрализации актуальных угроз.</w:t>
      </w:r>
    </w:p>
    <w:p w14:paraId="4632885E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Назначены должностные лица, отвечающие за обеспечение безопасности персональных данных в информационных системах;</w:t>
      </w:r>
    </w:p>
    <w:p w14:paraId="1BA6537F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Операторы информационных систем при обработке персональных данных принимают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18A79A15" w14:textId="098A20FB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Продвижение Программы</w:t>
      </w:r>
    </w:p>
    <w:p w14:paraId="70CECF5F" w14:textId="77777777" w:rsidR="0002611E" w:rsidRPr="0002611E" w:rsidRDefault="0002611E" w:rsidP="006C01A0">
      <w:pPr>
        <w:shd w:val="clear" w:color="auto" w:fill="FFFFFF"/>
        <w:tabs>
          <w:tab w:val="left" w:pos="142"/>
          <w:tab w:val="left" w:pos="426"/>
          <w:tab w:val="left" w:pos="567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Интеграция информации о проекте в популярных группах школьников и молодежи в сети интернет</w:t>
      </w:r>
    </w:p>
    <w:p w14:paraId="48F6751C" w14:textId="77777777" w:rsidR="0002611E" w:rsidRPr="0002611E" w:rsidRDefault="0002611E" w:rsidP="006C01A0">
      <w:pPr>
        <w:shd w:val="clear" w:color="auto" w:fill="FFFFFF"/>
        <w:tabs>
          <w:tab w:val="left" w:pos="142"/>
          <w:tab w:val="left" w:pos="426"/>
          <w:tab w:val="left" w:pos="567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Совместные акции с лидерами общественного мнения</w:t>
      </w:r>
    </w:p>
    <w:p w14:paraId="31F787EB" w14:textId="77777777" w:rsidR="0002611E" w:rsidRPr="0002611E" w:rsidRDefault="0002611E" w:rsidP="006C01A0">
      <w:pPr>
        <w:shd w:val="clear" w:color="auto" w:fill="FFFFFF"/>
        <w:tabs>
          <w:tab w:val="left" w:pos="142"/>
          <w:tab w:val="left" w:pos="426"/>
          <w:tab w:val="left" w:pos="567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Серии репортажей о проекте на телевидении</w:t>
      </w:r>
    </w:p>
    <w:p w14:paraId="0026068F" w14:textId="77777777" w:rsidR="0002611E" w:rsidRPr="0002611E" w:rsidRDefault="0002611E" w:rsidP="006C01A0">
      <w:pPr>
        <w:shd w:val="clear" w:color="auto" w:fill="FFFFFF"/>
        <w:tabs>
          <w:tab w:val="left" w:pos="142"/>
          <w:tab w:val="left" w:pos="426"/>
          <w:tab w:val="left" w:pos="567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4.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Публикация информации о проекте на ресурсах министерств, учреждений культуры и образования</w:t>
      </w:r>
    </w:p>
    <w:p w14:paraId="4DD65AAA" w14:textId="77777777" w:rsidR="0002611E" w:rsidRPr="0002611E" w:rsidRDefault="0002611E" w:rsidP="006C01A0">
      <w:pPr>
        <w:shd w:val="clear" w:color="auto" w:fill="FFFFFF"/>
        <w:tabs>
          <w:tab w:val="left" w:pos="142"/>
          <w:tab w:val="left" w:pos="426"/>
          <w:tab w:val="left" w:pos="567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5.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Контекстная реклама</w:t>
      </w:r>
    </w:p>
    <w:p w14:paraId="336106E0" w14:textId="77777777" w:rsidR="0002611E" w:rsidRPr="0002611E" w:rsidRDefault="0002611E" w:rsidP="006C01A0">
      <w:pPr>
        <w:shd w:val="clear" w:color="auto" w:fill="FFFFFF"/>
        <w:tabs>
          <w:tab w:val="left" w:pos="142"/>
          <w:tab w:val="left" w:pos="426"/>
          <w:tab w:val="left" w:pos="567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6.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Публикации блогеров</w:t>
      </w:r>
    </w:p>
    <w:p w14:paraId="2C517C71" w14:textId="77777777" w:rsidR="0002611E" w:rsidRPr="0002611E" w:rsidRDefault="0002611E" w:rsidP="006C01A0">
      <w:pPr>
        <w:shd w:val="clear" w:color="auto" w:fill="FFFFFF"/>
        <w:tabs>
          <w:tab w:val="left" w:pos="142"/>
          <w:tab w:val="left" w:pos="426"/>
          <w:tab w:val="left" w:pos="567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7.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Реклама в популярных соцсетях</w:t>
      </w:r>
    </w:p>
    <w:p w14:paraId="4D1FD650" w14:textId="77777777" w:rsidR="0002611E" w:rsidRPr="0002611E" w:rsidRDefault="0002611E" w:rsidP="006C01A0">
      <w:pPr>
        <w:shd w:val="clear" w:color="auto" w:fill="FFFFFF"/>
        <w:tabs>
          <w:tab w:val="left" w:pos="142"/>
          <w:tab w:val="left" w:pos="426"/>
          <w:tab w:val="left" w:pos="567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8.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Наружная реклама</w:t>
      </w:r>
    </w:p>
    <w:p w14:paraId="596D9E0B" w14:textId="77777777" w:rsidR="0002611E" w:rsidRPr="0002611E" w:rsidRDefault="0002611E" w:rsidP="006C01A0">
      <w:pPr>
        <w:shd w:val="clear" w:color="auto" w:fill="FFFFFF"/>
        <w:tabs>
          <w:tab w:val="left" w:pos="142"/>
          <w:tab w:val="left" w:pos="426"/>
          <w:tab w:val="left" w:pos="567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9.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Публикации в СМИ</w:t>
      </w:r>
    </w:p>
    <w:p w14:paraId="5D54E3D0" w14:textId="77777777" w:rsidR="0002611E" w:rsidRPr="0002611E" w:rsidRDefault="0002611E" w:rsidP="006C01A0">
      <w:pPr>
        <w:shd w:val="clear" w:color="auto" w:fill="FFFFFF"/>
        <w:tabs>
          <w:tab w:val="left" w:pos="142"/>
          <w:tab w:val="left" w:pos="426"/>
          <w:tab w:val="left" w:pos="567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10.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Таргетированная реклама</w:t>
      </w:r>
    </w:p>
    <w:p w14:paraId="5268D4D9" w14:textId="131FE1AD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Рекомендации по повышению пропускной способности учреждений</w:t>
      </w:r>
    </w:p>
    <w:p w14:paraId="1ABA734F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Музеи и выставочные центры</w:t>
      </w:r>
    </w:p>
    <w:p w14:paraId="7DE65571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Увеличение пропускной способности музеев на 5% за счет оптимизации экскурсионных потоков переформатирование существующих экскурсионных программ под целевую аудиторию программы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(оптимизация времени проведения экскурсий - возможность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принимать больше групп; сокращение временных интервалов между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экскурсионными группами).</w:t>
      </w:r>
    </w:p>
    <w:p w14:paraId="0868D5A7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lastRenderedPageBreak/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Увеличение времени работы музеев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До 20.00-21.00.</w:t>
      </w:r>
    </w:p>
    <w:p w14:paraId="38D9160D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Сокращение нерабочих дней в музеях, при необходимости их отмена.</w:t>
      </w:r>
    </w:p>
    <w:p w14:paraId="7B2FB4E7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Увеличение количества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общемузейных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проектов и передвижных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Выставок. В виду высокой стоимости страхования и перевозки оригинальных предметов организация планшетных (в том числе копий) и мультимедийных проектов для широкого показа шедевров.</w:t>
      </w:r>
    </w:p>
    <w:p w14:paraId="703C0D5B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Театры и концертные организации</w:t>
      </w:r>
    </w:p>
    <w:p w14:paraId="4AD95D9C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Увеличение количества гастролей (театров и филармоний) рекомендуется выезд как полноценных спектаклей, так и фрагментов, совмещенных со встречами с труппой.</w:t>
      </w:r>
    </w:p>
    <w:p w14:paraId="798EC661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Рекомендации для участников программы «Пушкинская карта»</w:t>
      </w:r>
    </w:p>
    <w:p w14:paraId="1C630B52" w14:textId="22A98C6F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Покупка билетов:</w:t>
      </w:r>
    </w:p>
    <w:p w14:paraId="1EB5FEAA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картой можно оплатить только билеты на мероприятия, включенные в программу «Пушкинская карта». Использование карты для оплаты других билетов и снятие наличных с нее не допускаются;</w:t>
      </w:r>
    </w:p>
    <w:p w14:paraId="46F78A3D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основной способ покупки билетов с помощью карты – на сайте учреждения культуры или билетного оператора. Возможность покупки билетов в кассе посетителям необходимо уточнять в выбранном учреждении перед посещением.</w:t>
      </w:r>
    </w:p>
    <w:p w14:paraId="217F0EC5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</w:p>
    <w:p w14:paraId="22664F6B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Посещение мероприятия:</w:t>
      </w:r>
    </w:p>
    <w:p w14:paraId="4A018A05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билет дает право на посещение мероприятия только держателю карты, купившему билет, и не может быть передан другим лицам;</w:t>
      </w:r>
    </w:p>
    <w:p w14:paraId="3818CCF7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билет именной, требует обязательного предъявления при входе на мероприятие виртуальной или пластиковой карты и документа, удостоверяющего личность держателя карты (паспорта). Билет без карты и паспорта считается недействительным.</w:t>
      </w:r>
    </w:p>
    <w:p w14:paraId="2A7BEFD5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</w:p>
    <w:p w14:paraId="6FAC7885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Возврат билетов:</w:t>
      </w:r>
    </w:p>
    <w:p w14:paraId="469884B8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возврат билетов, оплаченных картой, осуществляется в соответствии с правилами возврата, принятыми учреждением культуры или билетным оператором, у которого был приобретен билет;</w:t>
      </w:r>
    </w:p>
    <w:p w14:paraId="6428712A" w14:textId="77777777" w:rsidR="0002611E" w:rsidRPr="0002611E" w:rsidRDefault="0002611E" w:rsidP="006C01A0">
      <w:pPr>
        <w:shd w:val="clear" w:color="auto" w:fill="FFFFFF"/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возврат стоимости билетов осуществляется только на карту, использованную при покупке билета. Баланс карты пополнится на сумму, которая 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была списана при покупке билета. Возврат денежных средств на другую карту или наличными не предусмотрен.</w:t>
      </w:r>
    </w:p>
    <w:p w14:paraId="7E8A4ECA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Полная версия Правил реализации мер по социальной поддержке молодежи в возрасте от 14 до 22 лет для повышения доступности организаций культуры доступна по </w:t>
      </w:r>
      <w:hyperlink r:id="rId14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ссылке</w:t>
        </w:r>
      </w:hyperlink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14:paraId="1AFDA93A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Важнейшим вопросом в рамках реализации программы остается сверка данных билета и держателя Пушкинской карты. Мы подготовили методические рекомендации для учреждений.</w:t>
      </w:r>
    </w:p>
    <w:p w14:paraId="1051C3B4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Как верно организовать процесс:</w:t>
      </w:r>
    </w:p>
    <w:p w14:paraId="2BCD9B9F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 Включить в список льготных категорий новую – «Держатель Пушкинской карты». Театрам необходимо выделить на сайте в разделе «Афиша» спектакли – участники программы и добавить логотип программы.</w:t>
      </w:r>
    </w:p>
    <w:p w14:paraId="09D7E454" w14:textId="5D7D4E59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14:paraId="3A5F1B85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Ответы на вопросы по итогам вебинаров, посвященных проекту «Пушкинская карта»</w:t>
      </w:r>
    </w:p>
    <w:p w14:paraId="0315F8EA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1. Что требуется сделать учреждению, чтобы стать участником программы «Пушкинская карта»?</w:t>
      </w:r>
    </w:p>
    <w:p w14:paraId="7CFAEADE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Если ваше учреждение хочет участвовать в программе «Пушкинская карта», пожалуйста, проверьте, соответствует ли оно базовым требованиям. О них мы рассказывали на вебинаре «Знакомство с проектом «Пушкинская карта». Запись доступна по </w:t>
      </w:r>
      <w:hyperlink r:id="rId15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ссылке</w:t>
        </w:r>
      </w:hyperlink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 (Устарел в части требований по Реестру проданных билетов, в нем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нем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информации по реестру)</w:t>
      </w:r>
    </w:p>
    <w:p w14:paraId="4CE6B851" w14:textId="0813F9BA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Также вы можете найти их в </w:t>
      </w:r>
      <w:hyperlink r:id="rId16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методических рекомендациях</w:t>
        </w:r>
      </w:hyperlink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для участников программы.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Если требования выполнены, пожалуйста, свяжитесь с технической поддержкой платформы «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PRO.Культура.РФ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», чтобы в карточке вашего учреждения была поставлена специальная отметка об участии.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После этого зарегистрируйте «белый» терминал в разделе «Информация о терминалах» и приступайте к созданию событий в разделе «События». В анонсе мероприятия, проходящего в рамках программы «Пушкинская карта», необходимо поставить отметку «Участвует в проекте «Пушкинская карта» в специальном поле, заполнить поле «Терминал» и/или поле «Билетная система», указать цену и ссылку на покупку билетов. </w:t>
      </w:r>
      <w:proofErr w:type="gram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Затем  нужно</w:t>
      </w:r>
      <w:proofErr w:type="gram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отправить событие на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модерацию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</w:p>
    <w:p w14:paraId="4A39E91F" w14:textId="0911B9DD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lastRenderedPageBreak/>
        <w:t>2. К</w:t>
      </w:r>
      <w:r w:rsidR="006C01A0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а</w:t>
      </w: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к решить, какие события стоит подать от учреждения для участия в программе?</w:t>
      </w:r>
    </w:p>
    <w:p w14:paraId="2AB1211B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Необходимо выбрать культурные мероприятия, которые, на ваш взгляд, будут интересны целевой аудитории программы – молодежи от 14 до 22 лет. Окончательное решение об участии того или иного события в программе будет принимать региональный экспертный совет.</w:t>
      </w:r>
    </w:p>
    <w:p w14:paraId="684FD04A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</w:p>
    <w:p w14:paraId="58F68BA9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3. Как пользователь программы будет получать Пушкинскую карту?</w:t>
      </w:r>
    </w:p>
    <w:p w14:paraId="3797972A" w14:textId="01600F05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Карту можно будет выпустить через 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Госуслуги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</w:p>
    <w:p w14:paraId="4D8F04D1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4. Что такое «белый» терминал?</w:t>
      </w:r>
    </w:p>
    <w:p w14:paraId="0129249E" w14:textId="5D2CDA01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«Белый» терминал – специально выделенный терминал для продажи билетов на мероприятия, прошедшие модерацию в рамках программы «Пушкинская карта».</w:t>
      </w: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</w:p>
    <w:p w14:paraId="226E80DE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5. Как зарегистрировать в личном кабинете «белый» терминал?</w:t>
      </w:r>
    </w:p>
    <w:p w14:paraId="6D6C1E0B" w14:textId="1CB43222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Перейдите в раздел «Информация о терминалах», нажмите кнопку «Создать» в правом верхнем углу, заполните поля и нажмите «Сохранить». После этого терминал можно будет выбрать при создании события. </w:t>
      </w:r>
    </w:p>
    <w:p w14:paraId="67C9741B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6.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</w:t>
      </w: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Может ли учреждение участвовать, если все события в нем бесплатные?</w:t>
      </w:r>
    </w:p>
    <w:p w14:paraId="36782BD1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программу могут быть приняты только платные события, билеты на которые продаются онлайн.</w:t>
      </w:r>
    </w:p>
    <w:p w14:paraId="3B35BC01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7.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</w:t>
      </w: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Может ли учреждение участвовать в программе, если билеты в нем не продаются онлайн?</w:t>
      </w:r>
    </w:p>
    <w:p w14:paraId="177A4C5B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Одним из базовых технических требований к участникам является наличие возможности продажи билетов онлайн. Если такой возможности нет, то и участвовать в программе учреждение не сможет.</w:t>
      </w:r>
    </w:p>
    <w:p w14:paraId="4A75997C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8. Можно ли поставить отметку об участии в программе «Пушкинская карта» в подтвержденном событии?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Да, такая возможность есть.</w:t>
      </w:r>
    </w:p>
    <w:p w14:paraId="1C8DF906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9. Можно ли подавать для участия в программе гастрольные мероприятия?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Да, такая возможность есть. Создавать событие в таком случае необходимо будет в 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том учреждении, где зарегистрирован «белый» терминал, по которому будет оплачиваться событие.</w:t>
      </w:r>
    </w:p>
    <w:p w14:paraId="0D971FE4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10. Что делать, если на все экспозиции музея действует единый входной билет?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Необходимо создать отдельное событие, в описании которого кратко рассказать обо всех экспозициях. Можно оставить ссылки на страницы с подробностями. В этом анонсе нужно указать ссылку на покупку единого билета, а также терминал и/или билетную систему.</w:t>
      </w:r>
    </w:p>
    <w:p w14:paraId="79AF36F4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11. Необходимо ли для участия в программе наличие сканера для считывания QR-кода?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В код планируется зашифровать всю информацию о билете. На текущий момент наличие сканера не является обязательным условием для участия в программе.</w:t>
      </w:r>
    </w:p>
    <w:p w14:paraId="51DC39A2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12. Взимает ли банк-эквайринг комиссию за операции в рамках проекта «Пушкинская карта»?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Да, комиссия за операции в рамках проекта «Пушкинская карта» взимается аналогично остальным операциям.</w:t>
      </w:r>
    </w:p>
    <w:p w14:paraId="089BD399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13. Каким образом оплачиваются коллективные заявки на посещение событий в рамках проекта «Пушкинская карта»?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Каждый держатель Пушкинской карты оплачивает посещение мероприятия самостоятельно.</w:t>
      </w:r>
    </w:p>
    <w:p w14:paraId="5D113C98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14. Можно ли пополнить баланс Пушкинской карты самостоятельно?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Нет, средства зачисляются на карту государством один раз в год.</w:t>
      </w:r>
    </w:p>
    <w:p w14:paraId="794E6CE8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15. Может ли терминал, зарегистрированный как «белый», использоваться для оплаты чего-либо, кроме событий, прошедших модерацию?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Нет, «белый» терминал используется только для оплаты билетов на события, прошедшие модерацию.</w:t>
      </w:r>
    </w:p>
    <w:p w14:paraId="50B4EA61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16. В точке продажи необходимо будет иметь два терминала?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Не обязательно, можно применять два виртуальных терминала в одном физическом.</w:t>
      </w:r>
    </w:p>
    <w:p w14:paraId="6E109EAB" w14:textId="77777777" w:rsidR="006C01A0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17. Обязательно ли использование терминала «Почта Банк», если в учреждении уже установлен терминал другого банка? Можно ли зарегистрировать его как «белый»?</w:t>
      </w:r>
    </w:p>
    <w:p w14:paraId="47906CDF" w14:textId="0EA3EA4E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Вы можете продолжать сотрудничать с вашим банком-эквайером и зарегистрировать существующий терминал как «белый».</w:t>
      </w:r>
    </w:p>
    <w:p w14:paraId="00BA0BED" w14:textId="77777777" w:rsidR="006C01A0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lastRenderedPageBreak/>
        <w:t>18. Нужно иметь несколько видов оплаты (онлайн на сайте, билетные операторы и т. д.)?</w:t>
      </w:r>
    </w:p>
    <w:p w14:paraId="0AAD747E" w14:textId="7C683273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Можно иметь один канал продаж.</w:t>
      </w:r>
    </w:p>
    <w:p w14:paraId="597E38EB" w14:textId="77777777" w:rsidR="006C01A0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19. Что делать, если кассир по ошибке «пробьет» Пушкинскую карту по «серому» терминалу?</w:t>
      </w:r>
    </w:p>
    <w:p w14:paraId="3B5AB235" w14:textId="5A5A7546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 Пушкинской карте оплата в «сером» терминале не пройдет.</w:t>
      </w:r>
    </w:p>
    <w:p w14:paraId="21736A15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20. Разделение на «белые» и «серые» терминалы происходит и для онлайн-покупок?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Да.</w:t>
      </w:r>
    </w:p>
    <w:p w14:paraId="63B95E66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21. Может ли гражданин купить два билета на один и тот же сеанс?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Может, хотя особого смысла в этом нет: не получится передать второй билет кому-то еще. Это запрещено правилами программы. Но, если гражданин хочет выкупить несколько мест, чтобы сидеть в одиночестве, он имеет на это полное право.</w:t>
      </w:r>
    </w:p>
    <w:p w14:paraId="596766CA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22. Почему бы не сделать единый терминал, без «белых» и «серых»?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Разделение терминалов на «белые» и «серые» необходимо, чтобы клиент мог использовать Пушкинскую карту только для покупки билетов на события, прошедшие модерацию.</w:t>
      </w:r>
    </w:p>
    <w:p w14:paraId="2959F7CE" w14:textId="77777777" w:rsidR="006C01A0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23. Нужно ли разрабатывать новый дизайн бумажного билета, который в рамках программы будет выдаваться при покупке в музее?</w:t>
      </w:r>
    </w:p>
    <w:p w14:paraId="6EDF3742" w14:textId="7B847146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Да.</w:t>
      </w:r>
    </w:p>
    <w:p w14:paraId="0457E40E" w14:textId="77777777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24. Может ли быть один физический терминал «белым» и «серым» одновременно?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Может, если ваш банк-эквайер поддерживает установку на один физический терминал второго – виртуального.</w:t>
      </w:r>
    </w:p>
    <w:p w14:paraId="007FDC5C" w14:textId="77777777" w:rsidR="006C01A0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25. Где взять информацию о четырех полях, которые нужны для регистрации «белого» терминала на «</w:t>
      </w:r>
      <w:proofErr w:type="spellStart"/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PRO.Культура.РФ</w:t>
      </w:r>
      <w:proofErr w:type="spellEnd"/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»?</w:t>
      </w:r>
    </w:p>
    <w:p w14:paraId="3AD490FA" w14:textId="44355F3B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 банка-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эквайера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или в билетной системе. Необходимая информация есть в процессинге кредитной организации.</w:t>
      </w:r>
    </w:p>
    <w:p w14:paraId="02546708" w14:textId="77777777" w:rsidR="006C01A0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0261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26. Можно ли доплатить деньги с другой карты, если на Пушкинской карте не хватит денег на билет?</w:t>
      </w:r>
    </w:p>
    <w:p w14:paraId="07CAA0E3" w14:textId="7B015A25" w:rsidR="0002611E" w:rsidRPr="0002611E" w:rsidRDefault="0002611E" w:rsidP="006C01A0">
      <w:pPr>
        <w:shd w:val="clear" w:color="auto" w:fill="FFFFFF"/>
        <w:spacing w:before="225"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Да, при условии, что такая возможность реализована вашим банком-эквайером.</w:t>
      </w:r>
    </w:p>
    <w:p w14:paraId="038AE4AF" w14:textId="77777777" w:rsidR="0002611E" w:rsidRPr="0002611E" w:rsidRDefault="0002611E" w:rsidP="006C01A0">
      <w:pPr>
        <w:shd w:val="clear" w:color="auto" w:fill="FFFFFF"/>
        <w:tabs>
          <w:tab w:val="left" w:pos="426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lastRenderedPageBreak/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Технические рекомендации и алгоритм подключения по </w:t>
      </w:r>
      <w:hyperlink r:id="rId17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ссылке</w:t>
        </w:r>
      </w:hyperlink>
    </w:p>
    <w:p w14:paraId="0273B43E" w14:textId="77777777" w:rsidR="0002611E" w:rsidRPr="0002611E" w:rsidRDefault="0002611E" w:rsidP="006C01A0">
      <w:pPr>
        <w:shd w:val="clear" w:color="auto" w:fill="FFFFFF"/>
        <w:tabs>
          <w:tab w:val="left" w:pos="426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Скачать приложение для </w:t>
      </w:r>
      <w:proofErr w:type="spellStart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fldChar w:fldCharType="begin"/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instrText xml:space="preserve"> HYPERLINK "https://play.google.com/store/apps/details?id=ru.gosuslugi.culture" </w:instrTex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fldChar w:fldCharType="separate"/>
      </w:r>
      <w:r w:rsidRPr="0002611E">
        <w:rPr>
          <w:rFonts w:ascii="Times New Roman" w:eastAsia="Times New Roman" w:hAnsi="Times New Roman" w:cs="Times New Roman"/>
          <w:color w:val="0077DD"/>
          <w:sz w:val="28"/>
          <w:szCs w:val="28"/>
          <w:u w:val="single"/>
          <w:lang w:eastAsia="ru-RU"/>
        </w:rPr>
        <w:t>Android</w:t>
      </w:r>
      <w:proofErr w:type="spellEnd"/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fldChar w:fldCharType="end"/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или</w:t>
      </w:r>
      <w:hyperlink r:id="rId18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 </w:t>
        </w:r>
        <w:proofErr w:type="spellStart"/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iPhone</w:t>
        </w:r>
        <w:proofErr w:type="spellEnd"/>
      </w:hyperlink>
    </w:p>
    <w:p w14:paraId="2BD65783" w14:textId="77777777" w:rsidR="0002611E" w:rsidRPr="0002611E" w:rsidRDefault="0002611E" w:rsidP="006C01A0">
      <w:pPr>
        <w:shd w:val="clear" w:color="auto" w:fill="FFFFFF"/>
        <w:tabs>
          <w:tab w:val="left" w:pos="426"/>
        </w:tabs>
        <w:spacing w:after="0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Symbol" w:eastAsia="Times New Roman" w:hAnsi="Symbol" w:cs="Helvetica"/>
          <w:color w:val="444444"/>
          <w:sz w:val="20"/>
          <w:szCs w:val="20"/>
          <w:lang w:eastAsia="ru-RU"/>
        </w:rPr>
        <w:t></w:t>
      </w:r>
      <w:r w:rsidRPr="0002611E">
        <w:rPr>
          <w:rFonts w:ascii="Times New Roman" w:eastAsia="Times New Roman" w:hAnsi="Times New Roman" w:cs="Times New Roman"/>
          <w:color w:val="444444"/>
          <w:sz w:val="14"/>
          <w:szCs w:val="14"/>
          <w:lang w:eastAsia="ru-RU"/>
        </w:rPr>
        <w:t>                     </w:t>
      </w:r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Смотреть </w:t>
      </w:r>
      <w:hyperlink r:id="rId19" w:history="1">
        <w:r w:rsidRPr="0002611E">
          <w:rPr>
            <w:rFonts w:ascii="Times New Roman" w:eastAsia="Times New Roman" w:hAnsi="Times New Roman" w:cs="Times New Roman"/>
            <w:color w:val="0077DD"/>
            <w:sz w:val="28"/>
            <w:szCs w:val="28"/>
            <w:u w:val="single"/>
            <w:lang w:eastAsia="ru-RU"/>
          </w:rPr>
          <w:t>всю афишу</w:t>
        </w:r>
      </w:hyperlink>
      <w:r w:rsidRPr="0002611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по проекту «Пушкинская карта»</w:t>
      </w:r>
    </w:p>
    <w:p w14:paraId="58E7FDC7" w14:textId="77777777" w:rsidR="0002611E" w:rsidRPr="0002611E" w:rsidRDefault="0002611E" w:rsidP="006C01A0">
      <w:pPr>
        <w:shd w:val="clear" w:color="auto" w:fill="FFFFFF"/>
        <w:spacing w:before="225" w:after="225" w:line="276" w:lineRule="auto"/>
        <w:ind w:left="-284" w:firstLine="426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2611E">
        <w:rPr>
          <w:rFonts w:ascii="Times New Roman" w:eastAsia="Times New Roman" w:hAnsi="Times New Roman" w:cs="Times New Roman"/>
          <w:color w:val="313131"/>
          <w:sz w:val="21"/>
          <w:szCs w:val="21"/>
          <w:lang w:eastAsia="ru-RU"/>
        </w:rPr>
        <w:t>Все новости проекта можно отслеживать в официальной группе «</w:t>
      </w:r>
      <w:hyperlink r:id="rId20" w:history="1">
        <w:r w:rsidRPr="0002611E">
          <w:rPr>
            <w:rFonts w:ascii="Times New Roman" w:eastAsia="Times New Roman" w:hAnsi="Times New Roman" w:cs="Times New Roman"/>
            <w:color w:val="FC940C"/>
            <w:sz w:val="21"/>
            <w:szCs w:val="21"/>
            <w:u w:val="single"/>
            <w:lang w:eastAsia="ru-RU"/>
          </w:rPr>
          <w:t>Пушкинская карта</w:t>
        </w:r>
      </w:hyperlink>
      <w:r w:rsidRPr="0002611E">
        <w:rPr>
          <w:rFonts w:ascii="Times New Roman" w:eastAsia="Times New Roman" w:hAnsi="Times New Roman" w:cs="Times New Roman"/>
          <w:color w:val="313131"/>
          <w:sz w:val="21"/>
          <w:szCs w:val="21"/>
          <w:lang w:eastAsia="ru-RU"/>
        </w:rPr>
        <w:t xml:space="preserve">» в социальной сети </w:t>
      </w:r>
      <w:proofErr w:type="spellStart"/>
      <w:r w:rsidRPr="0002611E">
        <w:rPr>
          <w:rFonts w:ascii="Times New Roman" w:eastAsia="Times New Roman" w:hAnsi="Times New Roman" w:cs="Times New Roman"/>
          <w:color w:val="313131"/>
          <w:sz w:val="21"/>
          <w:szCs w:val="21"/>
          <w:lang w:eastAsia="ru-RU"/>
        </w:rPr>
        <w:t>ВКонтакте</w:t>
      </w:r>
      <w:proofErr w:type="spellEnd"/>
      <w:r w:rsidRPr="0002611E">
        <w:rPr>
          <w:rFonts w:ascii="Times New Roman" w:eastAsia="Times New Roman" w:hAnsi="Times New Roman" w:cs="Times New Roman"/>
          <w:color w:val="313131"/>
          <w:sz w:val="21"/>
          <w:szCs w:val="21"/>
          <w:lang w:eastAsia="ru-RU"/>
        </w:rPr>
        <w:t>, а также подписаться на новостной канал с в Телеграмме: </w:t>
      </w:r>
      <w:hyperlink r:id="rId21" w:history="1">
        <w:r w:rsidRPr="0002611E">
          <w:rPr>
            <w:rFonts w:ascii="Times New Roman" w:eastAsia="Times New Roman" w:hAnsi="Times New Roman" w:cs="Times New Roman"/>
            <w:color w:val="FC940C"/>
            <w:sz w:val="21"/>
            <w:szCs w:val="21"/>
            <w:u w:val="single"/>
            <w:lang w:eastAsia="ru-RU"/>
          </w:rPr>
          <w:t>https://t.me/pushkinskaya_karta_official</w:t>
        </w:r>
        <w:r w:rsidRPr="0002611E">
          <w:rPr>
            <w:rFonts w:ascii="Times New Roman" w:eastAsia="Times New Roman" w:hAnsi="Times New Roman" w:cs="Times New Roman"/>
            <w:color w:val="FC940C"/>
            <w:sz w:val="21"/>
            <w:szCs w:val="21"/>
            <w:lang w:eastAsia="ru-RU"/>
          </w:rPr>
          <w:br/>
        </w:r>
      </w:hyperlink>
      <w:r w:rsidRPr="0002611E">
        <w:rPr>
          <w:rFonts w:ascii="Times New Roman" w:eastAsia="Times New Roman" w:hAnsi="Times New Roman" w:cs="Times New Roman"/>
          <w:color w:val="313131"/>
          <w:sz w:val="21"/>
          <w:szCs w:val="21"/>
          <w:lang w:eastAsia="ru-RU"/>
        </w:rPr>
        <w:t xml:space="preserve">Учреждениям — участникам программы и тем, которые еще хотят присоединиться к ней будет полезен Телеграмм-канал </w:t>
      </w:r>
      <w:proofErr w:type="spellStart"/>
      <w:r w:rsidRPr="0002611E">
        <w:rPr>
          <w:rFonts w:ascii="Times New Roman" w:eastAsia="Times New Roman" w:hAnsi="Times New Roman" w:cs="Times New Roman"/>
          <w:color w:val="313131"/>
          <w:sz w:val="21"/>
          <w:szCs w:val="21"/>
          <w:lang w:eastAsia="ru-RU"/>
        </w:rPr>
        <w:t>PRO.ПушКА</w:t>
      </w:r>
      <w:proofErr w:type="spellEnd"/>
      <w:r w:rsidRPr="0002611E">
        <w:rPr>
          <w:rFonts w:ascii="Times New Roman" w:eastAsia="Times New Roman" w:hAnsi="Times New Roman" w:cs="Times New Roman"/>
          <w:color w:val="313131"/>
          <w:sz w:val="21"/>
          <w:szCs w:val="21"/>
          <w:lang w:eastAsia="ru-RU"/>
        </w:rPr>
        <w:t>:</w:t>
      </w:r>
      <w:hyperlink r:id="rId22" w:history="1">
        <w:r w:rsidRPr="0002611E">
          <w:rPr>
            <w:rFonts w:ascii="Times New Roman" w:eastAsia="Times New Roman" w:hAnsi="Times New Roman" w:cs="Times New Roman"/>
            <w:color w:val="FC940C"/>
            <w:sz w:val="21"/>
            <w:szCs w:val="21"/>
            <w:u w:val="single"/>
            <w:lang w:eastAsia="ru-RU"/>
          </w:rPr>
          <w:t> https://t.me/PRO_Push_Ka.</w:t>
        </w:r>
      </w:hyperlink>
      <w:r w:rsidRPr="0002611E">
        <w:rPr>
          <w:rFonts w:ascii="Times New Roman" w:eastAsia="Times New Roman" w:hAnsi="Times New Roman" w:cs="Times New Roman"/>
          <w:color w:val="313131"/>
          <w:sz w:val="21"/>
          <w:szCs w:val="21"/>
          <w:lang w:eastAsia="ru-RU"/>
        </w:rPr>
        <w:t> Данный канал предоставляет ссылки на методические и обучающие материалы по Пушкинской карте, а также дает ответы на наиболее часто задаваемые вопросы.</w:t>
      </w:r>
    </w:p>
    <w:p w14:paraId="56FFAD2F" w14:textId="77777777" w:rsidR="0002611E" w:rsidRPr="0002611E" w:rsidRDefault="00986661" w:rsidP="006C01A0">
      <w:pPr>
        <w:spacing w:before="225" w:after="225" w:line="276" w:lineRule="auto"/>
        <w:ind w:left="-284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ABA74DB">
          <v:rect id="_x0000_i1025" style="width:0;height:0" o:hralign="center" o:hrstd="t" o:hrnoshade="t" o:hr="t" fillcolor="#333" stroked="f"/>
        </w:pict>
      </w:r>
    </w:p>
    <w:p w14:paraId="29A3C183" w14:textId="77777777" w:rsidR="0002611E" w:rsidRPr="0002611E" w:rsidRDefault="00986661" w:rsidP="006C01A0">
      <w:pPr>
        <w:spacing w:before="225" w:after="225" w:line="276" w:lineRule="auto"/>
        <w:ind w:left="-284" w:firstLine="426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23" w:history="1">
        <w:r w:rsidR="0002611E" w:rsidRPr="0002611E">
          <w:rPr>
            <w:rFonts w:ascii="Helvetica" w:eastAsia="Times New Roman" w:hAnsi="Helvetica" w:cs="Helvetica"/>
            <w:b/>
            <w:bCs/>
            <w:color w:val="057CC9"/>
            <w:sz w:val="21"/>
            <w:szCs w:val="21"/>
            <w:u w:val="single"/>
            <w:lang w:eastAsia="ru-RU"/>
          </w:rPr>
          <w:t>ПОСТАНОВЛЕНИЕ ПРАВИТЕЛЬСТВА РОССИЙСКОЙФЕДЕРАЦИИ ПОСТАНОВЛЕНИЕ</w:t>
        </w:r>
      </w:hyperlink>
      <w:r w:rsidR="0002611E" w:rsidRPr="000261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от 8 сентября 2021 года N 1521 "О социальной поддержке молодежи в возрасте от 14 до 22 лет для повышения доступности организаций культуры"</w:t>
      </w:r>
    </w:p>
    <w:p w14:paraId="0A43857A" w14:textId="77777777" w:rsidR="0002611E" w:rsidRPr="0002611E" w:rsidRDefault="00986661" w:rsidP="006C01A0">
      <w:pPr>
        <w:spacing w:before="225" w:after="225" w:line="276" w:lineRule="auto"/>
        <w:ind w:left="-284" w:firstLine="426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24" w:history="1">
        <w:r w:rsidR="0002611E" w:rsidRPr="0002611E">
          <w:rPr>
            <w:rFonts w:ascii="Helvetica" w:eastAsia="Times New Roman" w:hAnsi="Helvetica" w:cs="Helvetica"/>
            <w:b/>
            <w:bCs/>
            <w:color w:val="057CC9"/>
            <w:sz w:val="21"/>
            <w:szCs w:val="21"/>
            <w:u w:val="single"/>
            <w:lang w:eastAsia="ru-RU"/>
          </w:rPr>
          <w:t>Методические рекомендации</w:t>
        </w:r>
      </w:hyperlink>
      <w:r w:rsidR="0002611E" w:rsidRPr="000261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для учреждений культуры - участников программы "Пушкинская карта"</w:t>
      </w:r>
    </w:p>
    <w:p w14:paraId="37CCBC51" w14:textId="77777777" w:rsidR="00606329" w:rsidRDefault="00606329" w:rsidP="006C01A0">
      <w:pPr>
        <w:spacing w:line="276" w:lineRule="auto"/>
        <w:ind w:left="-284" w:firstLine="426"/>
      </w:pPr>
    </w:p>
    <w:sectPr w:rsidR="00606329" w:rsidSect="006C01A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329"/>
    <w:rsid w:val="0002611E"/>
    <w:rsid w:val="00606329"/>
    <w:rsid w:val="006C01A0"/>
    <w:rsid w:val="008208DB"/>
    <w:rsid w:val="00852EFC"/>
    <w:rsid w:val="00986661"/>
    <w:rsid w:val="009F04A2"/>
    <w:rsid w:val="00C67148"/>
    <w:rsid w:val="00D33BA2"/>
    <w:rsid w:val="00DB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A63E9"/>
  <w15:chartTrackingRefBased/>
  <w15:docId w15:val="{83C51C31-B899-490B-B148-BB6DFA74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0380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ff.ru/pravila-riealizatsii-proiekta-pushkinskaia-karta/" TargetMode="External"/><Relationship Id="rId13" Type="http://schemas.openxmlformats.org/officeDocument/2006/relationships/hyperlink" Target="https://pro.culture.ru/documentation/pushkin_card.pdf" TargetMode="External"/><Relationship Id="rId18" Type="http://schemas.openxmlformats.org/officeDocument/2006/relationships/hyperlink" Target="https://apps.apple.com/ru/app/id1581979387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t.me/pushkinskaya_karta_official" TargetMode="External"/><Relationship Id="rId7" Type="http://schemas.openxmlformats.org/officeDocument/2006/relationships/hyperlink" Target="https://onff.ru/kak-oformit-pushkinskuiu-kartu-iesli-vam-ot-14-do-22-liet/" TargetMode="External"/><Relationship Id="rId12" Type="http://schemas.openxmlformats.org/officeDocument/2006/relationships/hyperlink" Target="https://docs.culture.ru/operators/" TargetMode="External"/><Relationship Id="rId17" Type="http://schemas.openxmlformats.org/officeDocument/2006/relationships/hyperlink" Target="https://onff.ru/podkliuchieniie-i-nastroika-oplaty-po-pushkinskoi-kartie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pro.culture.ru/documentation/pushkin_card.pdf" TargetMode="External"/><Relationship Id="rId20" Type="http://schemas.openxmlformats.org/officeDocument/2006/relationships/hyperlink" Target="https://vk.com/pushkinskaya_karta" TargetMode="External"/><Relationship Id="rId1" Type="http://schemas.openxmlformats.org/officeDocument/2006/relationships/styles" Target="styles.xml"/><Relationship Id="rId6" Type="http://schemas.openxmlformats.org/officeDocument/2006/relationships/hyperlink" Target="https://onff.ru/mietodichieskiie-riekomiendatsii-mintsifry-i-minkulta-rf-po-vniedrieniiu-proiekta-pushkinskaia-karta/" TargetMode="External"/><Relationship Id="rId11" Type="http://schemas.openxmlformats.org/officeDocument/2006/relationships/hyperlink" Target="https://docs.culture.ru/documents" TargetMode="External"/><Relationship Id="rId24" Type="http://schemas.openxmlformats.org/officeDocument/2006/relationships/hyperlink" Target="https://minkultura.udmurt.ru/documents/pushkinskaya-karta/%D0%9C%D0%B5%D1%82%D0%BE%D0%B4.%20%D1%80%D0%B5%D0%BA%D0%BE%D0%BC%D0%B5%D0%BD%D0%B4%D0%B0%D1%86%D0%B8%D0%B8%20pushkin_card.pdf" TargetMode="External"/><Relationship Id="rId5" Type="http://schemas.openxmlformats.org/officeDocument/2006/relationships/hyperlink" Target="https://onff.ru/izmienieniia-v-pravilakh-riealizatsii-proghrammy-pushkinskaia-karta/" TargetMode="External"/><Relationship Id="rId15" Type="http://schemas.openxmlformats.org/officeDocument/2006/relationships/hyperlink" Target="https://vk.com/wall-104944330_10733?z=video-104944330_456239340%2Fabbb5610e3fe083971%2Fpl_post_-104944330_10733" TargetMode="External"/><Relationship Id="rId23" Type="http://schemas.openxmlformats.org/officeDocument/2006/relationships/hyperlink" Target="https://minkultura.udmurt.ru/documents/pushkinskaya-karta/%D0%9F%D0%BE%D1%81%D1%82%D0%B0%D0%BD%D0%BE%D0%B2%D0%BB%D0%B5%D0%BD%D0%B8%D0%B5%20%D0%9F%D1%80%D0%B0%D0%B2%D0%B8%D1%82%D0%B5%D0%BB%D1%8C%D1%81%D1%82%D0%B2%D0%B0%20%D0%A0%D0%A4%201521%20(78266758%20v1).DOCX" TargetMode="External"/><Relationship Id="rId10" Type="http://schemas.openxmlformats.org/officeDocument/2006/relationships/hyperlink" Target="https://onff.ru/pravila-riealizatsii-proiekta-pushkinskaia-karta/" TargetMode="External"/><Relationship Id="rId19" Type="http://schemas.openxmlformats.org/officeDocument/2006/relationships/hyperlink" Target="https://www.culture.ru/pushkinskaya-karta/afisha/russia" TargetMode="External"/><Relationship Id="rId4" Type="http://schemas.openxmlformats.org/officeDocument/2006/relationships/hyperlink" Target="https://minkultura.udmurt.ru/documents/pushkinskaya-karta/%5b0%5d-%D0%B7%D0%B0%D1%8F%D0%B2%D0%BA%D0%B0%20%D0%BD%D0%B0%20%D0%BF%D0%BE%D0%B4%D0%BA%D0%BB%D1%8E%D1%87%D0%B5%D0%BD%D0%B8%D0%B5%20%D0%BA%20%D0%9F%D0%9A.docx" TargetMode="External"/><Relationship Id="rId9" Type="http://schemas.openxmlformats.org/officeDocument/2006/relationships/hyperlink" Target="https://www.culture.ru/pushkinskaya-karta/afisha/russia" TargetMode="External"/><Relationship Id="rId14" Type="http://schemas.openxmlformats.org/officeDocument/2006/relationships/hyperlink" Target="https://docs.cntd.ru/document/608531284" TargetMode="External"/><Relationship Id="rId22" Type="http://schemas.openxmlformats.org/officeDocument/2006/relationships/hyperlink" Target="https://t.me/PRO_Push_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3572</Words>
  <Characters>20367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dcterms:created xsi:type="dcterms:W3CDTF">2023-05-24T10:04:00Z</dcterms:created>
  <dcterms:modified xsi:type="dcterms:W3CDTF">2023-06-07T07:38:00Z</dcterms:modified>
</cp:coreProperties>
</file>